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hd w:val="clear" w:color="auto" w:fill="FFFFFF"/>
        <w:spacing w:line="240" w:lineRule="auto"/>
        <w:jc w:val="center"/>
        <w:outlineLvl w:val="1"/>
        <w:rPr>
          <w:rFonts w:hint="default"/>
          <w:color w:val="auto"/>
          <w:lang w:val="en-US" w:eastAsia="zh-CN"/>
        </w:rPr>
      </w:pPr>
      <w:r>
        <w:rPr>
          <w:rFonts w:hint="eastAsia" w:ascii="方正小标宋简体" w:hAnsi="微软雅黑" w:eastAsia="方正小标宋简体" w:cs="宋体"/>
          <w:b w:val="0"/>
          <w:bCs/>
          <w:color w:val="auto"/>
          <w:spacing w:val="0"/>
          <w:kern w:val="0"/>
          <w:sz w:val="36"/>
          <w:szCs w:val="36"/>
        </w:rPr>
        <w:t>道县202</w:t>
      </w:r>
      <w:r>
        <w:rPr>
          <w:rFonts w:hint="eastAsia" w:ascii="方正小标宋简体" w:hAnsi="微软雅黑" w:eastAsia="方正小标宋简体" w:cs="宋体"/>
          <w:b w:val="0"/>
          <w:bCs/>
          <w:color w:val="auto"/>
          <w:spacing w:val="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微软雅黑" w:eastAsia="方正小标宋简体" w:cs="宋体"/>
          <w:b w:val="0"/>
          <w:bCs/>
          <w:color w:val="auto"/>
          <w:spacing w:val="0"/>
          <w:kern w:val="0"/>
          <w:sz w:val="36"/>
          <w:szCs w:val="36"/>
        </w:rPr>
        <w:t>年急需紧缺高层次人才</w:t>
      </w:r>
      <w:r>
        <w:rPr>
          <w:rFonts w:hint="eastAsia" w:ascii="方正小标宋简体" w:hAnsi="微软雅黑" w:eastAsia="方正小标宋简体" w:cs="宋体"/>
          <w:b w:val="0"/>
          <w:bCs/>
          <w:color w:val="auto"/>
          <w:spacing w:val="0"/>
          <w:kern w:val="0"/>
          <w:sz w:val="36"/>
          <w:szCs w:val="36"/>
          <w:lang w:val="en-US" w:eastAsia="zh-CN"/>
        </w:rPr>
        <w:t>和乡村振兴实用人才引进需求目录</w:t>
      </w:r>
    </w:p>
    <w:tbl>
      <w:tblPr>
        <w:tblStyle w:val="4"/>
        <w:tblpPr w:leftFromText="180" w:rightFromText="180" w:vertAnchor="text" w:horzAnchor="page" w:tblpX="846" w:tblpY="639"/>
        <w:tblOverlap w:val="never"/>
        <w:tblW w:w="15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231"/>
        <w:gridCol w:w="1154"/>
        <w:gridCol w:w="600"/>
        <w:gridCol w:w="692"/>
        <w:gridCol w:w="981"/>
        <w:gridCol w:w="669"/>
        <w:gridCol w:w="646"/>
        <w:gridCol w:w="1096"/>
        <w:gridCol w:w="1807"/>
        <w:gridCol w:w="709"/>
        <w:gridCol w:w="2621"/>
        <w:gridCol w:w="799"/>
        <w:gridCol w:w="1388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tblHeader/>
        </w:trPr>
        <w:tc>
          <w:tcPr>
            <w:tcW w:w="465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231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主管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部门</w:t>
            </w:r>
          </w:p>
        </w:tc>
        <w:tc>
          <w:tcPr>
            <w:tcW w:w="1154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00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69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  <w:t>类别</w:t>
            </w:r>
          </w:p>
        </w:tc>
        <w:tc>
          <w:tcPr>
            <w:tcW w:w="981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66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需求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（人）</w:t>
            </w:r>
          </w:p>
        </w:tc>
        <w:tc>
          <w:tcPr>
            <w:tcW w:w="9066" w:type="dxa"/>
            <w:gridSpan w:val="7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岗位要求</w:t>
            </w:r>
          </w:p>
        </w:tc>
        <w:tc>
          <w:tcPr>
            <w:tcW w:w="78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tblHeader/>
        </w:trPr>
        <w:tc>
          <w:tcPr>
            <w:tcW w:w="465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31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4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00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9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81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应届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往届</w:t>
            </w:r>
          </w:p>
        </w:tc>
        <w:tc>
          <w:tcPr>
            <w:tcW w:w="109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出生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年月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学位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专业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其它</w:t>
            </w: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中共道县县委电子政务内网信息技术中心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内网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信息类、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中共道县县委综合信息中心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信息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中共道县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县委网信办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道县网络舆情研究中心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网络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电子信息类、计算机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中共道县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县委网信办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网络信息化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财务管理、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财政学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金融学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经济与金融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会计学、会计硕士、金融硕士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县委巡察工作领导小组办公室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中共道县县委巡察工作领导小组办公室信息联络中心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经济学类、工商管理类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中共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道县县委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县委党校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政治学类、社会学类、中国语言文学类、法学类、哲学类、历史学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道县人大常委会办公室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人大常委会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信息中心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法学类、政治学类、中国语言文学类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中共道县县委组织部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道县人才发展服务中心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经济和管理学大类、数学与统计类、计算机类、政治学类、文史哲大类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道县科工局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科学技术事务中心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数学与统计类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、统计学、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道县科工局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民营经济发展服务中心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经济学类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自然资源局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道县不动产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登记中心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计算机科学与技术、土地资源管理、城乡规划、城乡规划学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道县司法局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法律援助中心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、哲学类、历史学类、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道县水利局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道县水利规划计划事务中心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水利类、水利工程类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道县文化旅游广电体育局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道县公共文化服务中心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历史学、考古学、文物与博物馆学、史学理论及史学史、考古学及博物馆学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道县文化旅游广电体育局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道县公共文化服务中心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 xml:space="preserve">全额事业单位 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汉语言文学、秘书学、应用语言学、汉语言文字学、语言学及应用语言学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道县文化旅游广电体育局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道县文化馆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非遗岗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文化遗产、文物与博物馆学、文物与博物馆硕士、考古学及博物馆学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道县城市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管理和综合执法局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道县城市环境卫生和园林绿化服务中心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园林、园林植物与观赏园艺、风景园林、园林植物应用与生态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道县商务局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道县投资贸易促进事务中心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招商引资工作人员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经济学类、电子信息类、计算机类、市场营销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县委宣传部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融媒体中心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全媒体制作与管理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电子信息类、工商管理类、新闻传播学类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有一年以上新闻记者从业经历。</w:t>
            </w:r>
          </w:p>
        </w:tc>
        <w:tc>
          <w:tcPr>
            <w:tcW w:w="789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紧缺专业学历放宽为全日制本科，不享受人才引进优惠政策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县委宣传部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融媒体中心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新媒体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编辑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视觉传达设计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县委宣传部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融媒体中心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播音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与主持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播音与主持艺术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形象佳，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普通话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2甲以上。</w:t>
            </w: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道县气象局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道县防灾减灾预警中心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大气科学类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县委机构编制委员会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道县机构编制事务中心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专业技术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1991年9月1日及以后出生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会计学、财务管理、审计学、财务会计教育、会计硕士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初级会计师及以上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实用人才学历放宽为全日制本科，不享受人才引进优惠政策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24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医师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本科：临床医学、麻醉学、医学影像学、儿科学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研究生：内科学、儿科学、临床医学硕士、外科学、妇产科学、肿瘤学、麻醉学、急诊医学、神经病学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25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中医内科医师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本科：中医学、针灸推拿学、中医康复学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研究生：中医内科学、中医硕士、针灸推拿学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五官科医师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研究生：眼科学、耳鼻咽喉科学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副高及以上职称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二级甲等综合医院或中医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十年及以上工作经历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病理科医（技）师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本科：临床医学、医学检验技术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研究生：病理学与病理生理学、临床检验诊断学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药师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本科：药学、临床药学、中药学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研究生：药学硕士、药剂学、中药学硕士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 xml:space="preserve">研究生：中医内科学、中医外科学、中医骨伤科学、中医妇科学、中医儿科学、中医五官科学、中医硕士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本科：中医学、中医儿科学、中医骨伤科学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执业医师及以上资格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具有高级职称，学历放宽至本科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临床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 xml:space="preserve">研究生：内科学、儿科学、外科学、妇产科学、眼科学、耳鼻咽喉科学、肿瘤学、麻醉学、急诊医学、中西医结合临床、临床医学硕士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本科：临床医学、麻醉学、中西医临床医学、儿科学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执业医师及以上资格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具有高级职称，学历放宽至本科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眼科（学科带头人）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 xml:space="preserve">研究生：眼科学、临床医学硕士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本科：临床医学、中西医临床医学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执业医师及以上资格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1）市级以上学科带头人、或省部级有突出贡献的中青年专家、或省级重点学科、重点实验室的学术技术带头人。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 xml:space="preserve"> 2）获得省部级以上临床应用科研成果奖的主要完成者。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检验技术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 xml:space="preserve">研究生：医学技术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本科：医学检验技术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具有高级职称，学历放宽至本科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33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会计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 xml:space="preserve">研究生：会计学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 xml:space="preserve">本科：会计学 、财务管理、审计学 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具有高级职称，学历放宽至本科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34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道县妇幼保健和计划生育服务中心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专技人员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“双一流”大学全日制本科或者全日制硕士研究生（本科学历需全日制本科及以上）及以上学历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研究生：妇产科学、麻醉学、临床医学硕士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本科：临床医学、麻醉学、眼视光医学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副主任医师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具有执业医师资格证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35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道县健康教育所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疾病预防控制工作人员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本科：预防医学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研究生：公共卫生与预防医学类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紧缺专业学历放宽为全日制本科，不享受人才引进优惠政策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道县健康教育所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疾病预防控制工作人员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本科：医学检验技术、卫生检验与检疫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研究生：医学技术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城乡规划人员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城乡规划、土木工程、给排水科学与工程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实用人才学历放宽为全日制本科，不享受人才引进优惠政策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财务人员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会计学、财务管理、审计学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初级会计师及以上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环保技术人员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环境与安全类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市场营销、工商管理、零售业管理、电子商务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65" w:type="dxa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9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lang w:val="en-US" w:eastAsia="zh-CN"/>
        </w:rPr>
      </w:pPr>
    </w:p>
    <w:p>
      <w:pPr>
        <w:spacing w:line="240" w:lineRule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32CA"/>
    <w:rsid w:val="6C7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2021-09-13T10:24:00Z</dcterms:created>
  <dc:creator>Administrator</dc:creator>
  <cp:lastModifiedBy>Administrator</cp:lastModifiedBy>
  <dcterms:modified xsi:type="dcterms:W3CDTF">2021-09-13T10:24:43Z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036A2044D14144BC827DC16A380DA336</vt:lpwstr>
  </property>
</Properties>
</file>